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8" w:rsidRDefault="00312C08">
      <w:pPr>
        <w:jc w:val="center"/>
      </w:pPr>
      <w:r>
        <w:t>Minutes of Executive Committee Meeting of August 5, 2011</w:t>
      </w:r>
    </w:p>
    <w:p w:rsidR="00312C08" w:rsidRDefault="00312C08">
      <w:pPr>
        <w:jc w:val="center"/>
      </w:pPr>
      <w:r>
        <w:t>Sustainable Futures Section</w:t>
      </w:r>
    </w:p>
    <w:p w:rsidR="00312C08" w:rsidRDefault="00312C08">
      <w:pPr>
        <w:jc w:val="center"/>
      </w:pPr>
      <w:r>
        <w:t>Oregon State Bar</w:t>
      </w:r>
    </w:p>
    <w:p w:rsidR="00312C08" w:rsidRDefault="00312C08"/>
    <w:p w:rsidR="00312C08" w:rsidRDefault="00312C08">
      <w:pPr>
        <w:rPr>
          <w:b/>
        </w:rPr>
      </w:pPr>
      <w:r>
        <w:t>Attending:  James Kennedy (Chair), Michelle Slater, Jennifer Gates, Robin Bellanca Seifried (Treasurer), Diane Henkels (legislative contact), Dallas DeLuca (Secretary), Barry Woods (by phone), Ellen Grover, Pat Neill.</w:t>
      </w:r>
    </w:p>
    <w:p w:rsidR="00312C08" w:rsidRDefault="00312C08"/>
    <w:p w:rsidR="00312C08" w:rsidRDefault="00312C08">
      <w:proofErr w:type="gramStart"/>
      <w:r>
        <w:t>Excused:  Dick Roy, Amie Jamieson.</w:t>
      </w:r>
      <w:proofErr w:type="gramEnd"/>
    </w:p>
    <w:p w:rsidR="00312C08" w:rsidRDefault="00312C08"/>
    <w:p w:rsidR="00312C08" w:rsidRDefault="00312C08">
      <w:r>
        <w:t>1.</w:t>
      </w:r>
      <w:r>
        <w:tab/>
      </w:r>
      <w:r>
        <w:rPr>
          <w:b/>
          <w:u w:val="single"/>
        </w:rPr>
        <w:t>Opening Remarks</w:t>
      </w:r>
      <w:r>
        <w:t xml:space="preserve"> – Jim </w:t>
      </w:r>
    </w:p>
    <w:p w:rsidR="00312C08" w:rsidRDefault="00312C08">
      <w:pPr>
        <w:ind w:left="1440" w:hanging="720"/>
      </w:pPr>
      <w:r>
        <w:sym w:font="Symbol" w:char="F0B7"/>
      </w:r>
      <w:r>
        <w:tab/>
        <w:t xml:space="preserve">Jim’s discussion of lack of available facilities for returning unused </w:t>
      </w:r>
      <w:r w:rsidR="0061773B">
        <w:t>prescription drugs and land fill</w:t>
      </w:r>
      <w:r>
        <w:t xml:space="preserve"> and water pollution from same.</w:t>
      </w:r>
    </w:p>
    <w:p w:rsidR="00312C08" w:rsidRDefault="00312C08">
      <w:pPr>
        <w:ind w:left="1440" w:hanging="720"/>
      </w:pPr>
    </w:p>
    <w:p w:rsidR="00312C08" w:rsidRDefault="00312C08">
      <w:pPr>
        <w:rPr>
          <w:b/>
          <w:u w:val="single"/>
        </w:rPr>
      </w:pPr>
      <w:r>
        <w:t>2.</w:t>
      </w:r>
      <w:r>
        <w:tab/>
      </w:r>
      <w:r>
        <w:rPr>
          <w:b/>
          <w:u w:val="single"/>
        </w:rPr>
        <w:t>Minutes of 2/4/11 and 6/18/11 meetings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Approved as written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Dallas needs to send out May minutes.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720" w:hanging="720"/>
      </w:pPr>
      <w:r>
        <w:t>3.</w:t>
      </w:r>
      <w:r>
        <w:tab/>
      </w:r>
      <w:r>
        <w:rPr>
          <w:b/>
          <w:u w:val="single"/>
        </w:rPr>
        <w:t>Partners in Sustainability</w:t>
      </w:r>
      <w:r>
        <w:t xml:space="preserve"> – Barry Woods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Elizabeth Goodman at </w:t>
      </w:r>
      <w:proofErr w:type="spellStart"/>
      <w:r>
        <w:t>Tonkon</w:t>
      </w:r>
      <w:proofErr w:type="spellEnd"/>
      <w:r>
        <w:t xml:space="preserve"> </w:t>
      </w:r>
      <w:proofErr w:type="spellStart"/>
      <w:proofErr w:type="gramStart"/>
      <w:r>
        <w:t>Torp</w:t>
      </w:r>
      <w:proofErr w:type="spellEnd"/>
      <w:r>
        <w:t>,</w:t>
      </w:r>
      <w:proofErr w:type="gramEnd"/>
      <w:r>
        <w:t xml:space="preserve"> and Dylan Cer</w:t>
      </w:r>
      <w:r w:rsidR="00990498">
        <w:t xml:space="preserve">nitz at </w:t>
      </w:r>
      <w:proofErr w:type="spellStart"/>
      <w:r w:rsidR="00990498">
        <w:t>Gevurtz</w:t>
      </w:r>
      <w:proofErr w:type="spellEnd"/>
      <w:r w:rsidR="00990498">
        <w:t xml:space="preserve"> Menashe are on </w:t>
      </w:r>
      <w:r>
        <w:t>the committee.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Discussed p</w:t>
      </w:r>
      <w:r w:rsidR="0061773B">
        <w:t>ossible criteria for Partner</w:t>
      </w:r>
      <w:r>
        <w:t xml:space="preserve"> eligibility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Question 1:  from Barry to Executive Committee: Should large firms have more mandatory criteria than small firms?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>
        <w:rPr>
          <w:b/>
        </w:rPr>
        <w:t>A:</w:t>
      </w:r>
      <w:r>
        <w:t xml:space="preserve">  Generally, no, at least for now.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Question 2:  If a firm has multiple offices, should each office be judged together, with mandatory requirements imposed on all offices or should the application be reviewed by office?</w:t>
      </w:r>
    </w:p>
    <w:p w:rsidR="00312C08" w:rsidRPr="00312C08" w:rsidRDefault="00312C08" w:rsidP="00312C08">
      <w:pPr>
        <w:pStyle w:val="BodyText"/>
      </w:pPr>
      <w:r>
        <w:tab/>
      </w:r>
      <w:r>
        <w:sym w:font="Symbol" w:char="F0B7"/>
      </w:r>
      <w:r>
        <w:tab/>
      </w:r>
      <w:r w:rsidRPr="00312C08">
        <w:rPr>
          <w:b/>
        </w:rPr>
        <w:t>A:</w:t>
      </w:r>
      <w:r>
        <w:t xml:space="preserve"> review applications by each office.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 w:rsidP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Question 3:  Should some criteria be mandatory, or should there be requirement of several criteria of a list A: option B?</w:t>
      </w:r>
      <w:r w:rsidRPr="00312C08">
        <w:t xml:space="preserve"> </w:t>
      </w:r>
    </w:p>
    <w:p w:rsidR="00312C08" w:rsidRDefault="00312C08" w:rsidP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Suggested </w:t>
      </w:r>
      <w:proofErr w:type="gramStart"/>
      <w:r w:rsidRPr="00312C08">
        <w:rPr>
          <w:b/>
        </w:rPr>
        <w:t>A</w:t>
      </w:r>
      <w:proofErr w:type="gramEnd"/>
      <w:r w:rsidRPr="00312C08">
        <w:rPr>
          <w:b/>
        </w:rPr>
        <w:t>:</w:t>
      </w:r>
      <w:r>
        <w:t xml:space="preserve"> require that an applicant firm qualify by meeting several criteria among a list (e.g. 5 of 7 items) for several different category areas (e.g., water reduction; reduction i</w:t>
      </w:r>
      <w:r w:rsidR="00F37035">
        <w:t>n consumption; transportation).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Question 4:  Should partner criteria be same or align with Leadership Award criteria?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tab/>
      </w:r>
      <w:r>
        <w:rPr>
          <w:b/>
        </w:rPr>
        <w:t>A:</w:t>
      </w:r>
      <w:r>
        <w:t xml:space="preserve">  Not necessarily</w:t>
      </w:r>
      <w:r w:rsidR="000D2675">
        <w:t xml:space="preserve"> aligned</w:t>
      </w:r>
      <w:r>
        <w:t xml:space="preserve">, as both are developing and improving, so </w:t>
      </w:r>
      <w:r w:rsidR="0061773B">
        <w:t xml:space="preserve">no </w:t>
      </w:r>
      <w:r>
        <w:t>need to try to match them now.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Question 5:  Audits or self-certification? </w:t>
      </w:r>
    </w:p>
    <w:p w:rsidR="00312C08" w:rsidRDefault="00312C08">
      <w:pPr>
        <w:tabs>
          <w:tab w:val="left" w:pos="720"/>
        </w:tabs>
        <w:ind w:left="1440" w:hanging="1440"/>
      </w:pPr>
      <w:r>
        <w:lastRenderedPageBreak/>
        <w:tab/>
      </w:r>
      <w:r>
        <w:tab/>
      </w:r>
      <w:r>
        <w:rPr>
          <w:b/>
        </w:rPr>
        <w:t xml:space="preserve">A:  </w:t>
      </w:r>
      <w:r w:rsidR="00BC1095" w:rsidRPr="00BC1095">
        <w:t xml:space="preserve">Just self-certification every year.  Though </w:t>
      </w:r>
      <w:proofErr w:type="spellStart"/>
      <w:r w:rsidR="00BC1095" w:rsidRPr="00BC1095">
        <w:t>SFS</w:t>
      </w:r>
      <w:proofErr w:type="spellEnd"/>
      <w:r w:rsidR="00BC1095" w:rsidRPr="00BC1095">
        <w:t xml:space="preserve"> would not reserve rights to do an audit, we would let </w:t>
      </w:r>
      <w:proofErr w:type="gramStart"/>
      <w:r w:rsidR="00BC1095" w:rsidRPr="00BC1095">
        <w:t>the  Partners</w:t>
      </w:r>
      <w:proofErr w:type="gramEnd"/>
      <w:r w:rsidR="00BC1095" w:rsidRPr="00BC1095">
        <w:t xml:space="preserve"> know that we might ask for a visit or refer a Partner as a place to visit to see the example of sustainability.</w:t>
      </w:r>
    </w:p>
    <w:p w:rsidR="00312C08" w:rsidRDefault="00312C08">
      <w:pPr>
        <w:tabs>
          <w:tab w:val="left" w:pos="720"/>
        </w:tabs>
        <w:ind w:left="1440" w:hanging="1440"/>
      </w:pPr>
    </w:p>
    <w:p w:rsidR="00F37035" w:rsidRDefault="00312C08" w:rsidP="00F37035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Question 6:  </w:t>
      </w:r>
      <w:r w:rsidR="00F37035">
        <w:t>what data</w:t>
      </w:r>
      <w:r>
        <w:t xml:space="preserve"> collection and analysis do we want?</w:t>
      </w:r>
      <w:r w:rsidR="00F37035" w:rsidRPr="00F37035">
        <w:t xml:space="preserve"> </w:t>
      </w:r>
    </w:p>
    <w:p w:rsidR="00312C08" w:rsidRDefault="00F37035" w:rsidP="00F37035">
      <w:pPr>
        <w:tabs>
          <w:tab w:val="left" w:pos="720"/>
        </w:tabs>
        <w:ind w:left="1440" w:hanging="1440"/>
      </w:pPr>
      <w:r>
        <w:tab/>
      </w:r>
      <w:r>
        <w:tab/>
      </w:r>
      <w:r>
        <w:rPr>
          <w:b/>
        </w:rPr>
        <w:t>A:</w:t>
      </w:r>
      <w:r>
        <w:t xml:space="preserve">  Depends on what we are allowed to make public and what f</w:t>
      </w:r>
      <w:r w:rsidR="00312C08">
        <w:t>irm</w:t>
      </w:r>
      <w:r>
        <w:t>s want to keep</w:t>
      </w:r>
      <w:r w:rsidR="00312C08">
        <w:t xml:space="preserve"> confidential</w:t>
      </w:r>
      <w:r>
        <w:t>.</w:t>
      </w:r>
      <w:r w:rsidR="00312C08">
        <w:t xml:space="preserve">  Barry to check wit</w:t>
      </w:r>
      <w:r w:rsidR="000D2675">
        <w:t>h Bar on rules for confidentiality of section materials</w:t>
      </w:r>
      <w:r w:rsidR="00312C08">
        <w:t>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  <w:tab w:val="left" w:pos="810"/>
        </w:tabs>
        <w:ind w:left="720" w:hanging="720"/>
      </w:pPr>
      <w:r>
        <w:t>4.</w:t>
      </w:r>
      <w:r>
        <w:tab/>
      </w:r>
      <w:r>
        <w:rPr>
          <w:b/>
          <w:u w:val="single"/>
        </w:rPr>
        <w:t>Selection of Law Firm for Sustainable Leadership Award</w:t>
      </w:r>
      <w:r>
        <w:t xml:space="preserve"> – Ellen</w:t>
      </w:r>
    </w:p>
    <w:p w:rsidR="00312C08" w:rsidRDefault="00312C08" w:rsidP="000D2675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 w:rsidR="000D2675">
        <w:t>W</w:t>
      </w:r>
      <w:r>
        <w:t xml:space="preserve">e </w:t>
      </w:r>
      <w:r w:rsidR="000D2675">
        <w:t>will</w:t>
      </w:r>
      <w:r>
        <w:t xml:space="preserve"> write a letter to </w:t>
      </w:r>
      <w:r w:rsidR="000D2675">
        <w:t>all applications</w:t>
      </w:r>
      <w:r>
        <w:t xml:space="preserve"> thanking for app</w:t>
      </w:r>
      <w:r w:rsidR="000D2675">
        <w:t>lication and applauding efforts and encouraging them to apply next year again.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For next year: we will ask for concrete details on certain questions, such as whether firm pays for parking, and maybe paper purchase per employee.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Also, next year, distribute application announcement to the small and solo practitioner section.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 w:rsidR="000D2675">
        <w:t>The Executive Committee, after long d</w:t>
      </w:r>
      <w:r w:rsidR="0061773B">
        <w:t>ebate</w:t>
      </w:r>
      <w:r w:rsidR="00BC1095">
        <w:t>,</w:t>
      </w:r>
      <w:r w:rsidR="0061773B">
        <w:t xml:space="preserve"> voted to select</w:t>
      </w:r>
      <w:r w:rsidR="000D2675">
        <w:t xml:space="preserve"> </w:t>
      </w:r>
      <w:proofErr w:type="spellStart"/>
      <w:r w:rsidR="000D2675">
        <w:t>Schwab</w:t>
      </w:r>
      <w:r w:rsidR="0061773B">
        <w:t>e</w:t>
      </w:r>
      <w:proofErr w:type="spellEnd"/>
      <w:r w:rsidR="000D2675">
        <w:t xml:space="preserve"> Williamson and Wyatt as this year’s award recipient</w:t>
      </w:r>
      <w:r>
        <w:t>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</w:pPr>
      <w:r>
        <w:t>5.</w:t>
      </w:r>
      <w:r>
        <w:tab/>
      </w:r>
      <w:r>
        <w:rPr>
          <w:b/>
          <w:u w:val="single"/>
        </w:rPr>
        <w:t>Annual Section Celebration</w:t>
      </w:r>
      <w:r>
        <w:t xml:space="preserve"> – Robin and Jim 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 w:rsidR="000D2675">
        <w:t>O</w:t>
      </w:r>
      <w:r>
        <w:t xml:space="preserve">ption </w:t>
      </w:r>
      <w:r w:rsidR="000D2675">
        <w:t xml:space="preserve">for holding event at Zoo </w:t>
      </w:r>
      <w:r>
        <w:t>explored but not viable.</w:t>
      </w:r>
      <w:proofErr w:type="gramEnd"/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Remaining options:  speaker at local venue.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tab/>
        <w:t>Costs are very high, such as $45-$60 per person.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 xml:space="preserve">Possible speaker on sustainability and agriculture, speaking on </w:t>
      </w:r>
      <w:r w:rsidR="00F37035">
        <w:t>monocultures.</w:t>
      </w:r>
      <w:proofErr w:type="gramEnd"/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Budget is $1,000 for </w:t>
      </w:r>
      <w:r w:rsidR="00990498">
        <w:t>Annual all-section celebration event.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 w:rsidR="000D2675">
        <w:t>Location: m</w:t>
      </w:r>
      <w:r>
        <w:t xml:space="preserve">aybe at White Stag or at </w:t>
      </w:r>
      <w:proofErr w:type="spellStart"/>
      <w:r>
        <w:t>Schwabe</w:t>
      </w:r>
      <w:proofErr w:type="spellEnd"/>
      <w:r>
        <w:t>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>Robin and Jim talking to possible speakers.</w:t>
      </w:r>
      <w:proofErr w:type="gramEnd"/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</w:pPr>
      <w:r>
        <w:t>6.</w:t>
      </w:r>
      <w:r>
        <w:tab/>
      </w:r>
      <w:r>
        <w:rPr>
          <w:b/>
          <w:u w:val="single"/>
        </w:rPr>
        <w:t xml:space="preserve">Requirements for Filing Amicus Briefs by Sections </w:t>
      </w:r>
      <w:r>
        <w:t>– Diane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 w:rsidR="000D2675">
        <w:t>Executive Committee</w:t>
      </w:r>
      <w:r>
        <w:t xml:space="preserve"> reviewed </w:t>
      </w:r>
      <w:proofErr w:type="spellStart"/>
      <w:r w:rsidR="000D2675">
        <w:t>OSB</w:t>
      </w:r>
      <w:proofErr w:type="spellEnd"/>
      <w:r>
        <w:t xml:space="preserve"> bylaws for </w:t>
      </w:r>
      <w:r w:rsidR="000D2675">
        <w:t>writing and filing</w:t>
      </w:r>
      <w:r>
        <w:t xml:space="preserve"> Amicus Curiae briefs, and reviewed current status of Oregon case </w:t>
      </w:r>
      <w:r w:rsidR="000D2675">
        <w:t xml:space="preserve">law </w:t>
      </w:r>
      <w:r>
        <w:t>on public trust doctrine.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Diane will research </w:t>
      </w:r>
      <w:r w:rsidR="00BC1095" w:rsidRPr="00BC1095">
        <w:t xml:space="preserve">communications restrictions and </w:t>
      </w:r>
      <w:r>
        <w:t>costs for appearing as Amicus.</w:t>
      </w:r>
    </w:p>
    <w:p w:rsidR="00312C08" w:rsidRDefault="00312C08">
      <w:pPr>
        <w:tabs>
          <w:tab w:val="left" w:pos="720"/>
          <w:tab w:val="left" w:pos="1440"/>
        </w:tabs>
        <w:ind w:left="2160" w:hanging="1440"/>
      </w:pPr>
    </w:p>
    <w:p w:rsidR="00312C08" w:rsidRDefault="00312C08">
      <w:pPr>
        <w:tabs>
          <w:tab w:val="left" w:pos="720"/>
        </w:tabs>
        <w:ind w:left="1440" w:hanging="1440"/>
      </w:pPr>
      <w:r>
        <w:t>7.</w:t>
      </w:r>
      <w:r>
        <w:tab/>
      </w:r>
      <w:r>
        <w:rPr>
          <w:b/>
          <w:u w:val="single"/>
        </w:rPr>
        <w:t>Enhancing Value of Membership in Section</w:t>
      </w:r>
      <w:r>
        <w:t xml:space="preserve"> – Jennifer and Jim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Section could charge non-members for attending events (e.g., brown bags) with membership registration at events.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Moved:  Charge more for non-members than for members at events organized by Section.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  <w:rPr>
          <w:b/>
          <w:u w:val="single"/>
        </w:rPr>
      </w:pPr>
      <w:r>
        <w:t>8.</w:t>
      </w:r>
      <w:r>
        <w:tab/>
      </w:r>
      <w:r>
        <w:rPr>
          <w:b/>
          <w:u w:val="single"/>
        </w:rPr>
        <w:t xml:space="preserve">2011 Legislative Summary and </w:t>
      </w:r>
      <w:proofErr w:type="spellStart"/>
      <w:r>
        <w:rPr>
          <w:b/>
          <w:u w:val="single"/>
        </w:rPr>
        <w:t>SFS</w:t>
      </w:r>
      <w:proofErr w:type="spellEnd"/>
      <w:r>
        <w:rPr>
          <w:b/>
          <w:u w:val="single"/>
        </w:rPr>
        <w:t xml:space="preserve"> Role in Future Legislative </w:t>
      </w:r>
    </w:p>
    <w:p w:rsidR="00312C08" w:rsidRDefault="00312C08">
      <w:pPr>
        <w:tabs>
          <w:tab w:val="left" w:pos="720"/>
        </w:tabs>
        <w:ind w:left="1440" w:hanging="1440"/>
      </w:pPr>
      <w:r>
        <w:rPr>
          <w:b/>
        </w:rPr>
        <w:tab/>
      </w:r>
      <w:r>
        <w:rPr>
          <w:b/>
          <w:u w:val="single"/>
        </w:rPr>
        <w:t>Sessions</w:t>
      </w:r>
      <w:r>
        <w:t xml:space="preserve"> - Diane</w:t>
      </w:r>
    </w:p>
    <w:p w:rsidR="00312C08" w:rsidRDefault="00312C08">
      <w:pPr>
        <w:tabs>
          <w:tab w:val="left" w:pos="720"/>
        </w:tabs>
        <w:ind w:left="1440" w:hanging="1440"/>
      </w:pPr>
      <w:r>
        <w:lastRenderedPageBreak/>
        <w:tab/>
      </w:r>
      <w:r>
        <w:sym w:font="Symbol" w:char="F0B7"/>
      </w:r>
      <w:r>
        <w:tab/>
        <w:t>Discussed level of involvement Section should have on legislative developments.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  <w:rPr>
          <w:b/>
          <w:u w:val="single"/>
        </w:rPr>
      </w:pPr>
      <w:r>
        <w:t>9/12.</w:t>
      </w:r>
      <w:r>
        <w:tab/>
      </w:r>
      <w:r>
        <w:rPr>
          <w:b/>
          <w:u w:val="single"/>
        </w:rPr>
        <w:t xml:space="preserve">Selection of Annual Meeting Date/Executive Committee Meeting </w:t>
      </w:r>
    </w:p>
    <w:p w:rsidR="00312C08" w:rsidRDefault="00312C08">
      <w:pPr>
        <w:tabs>
          <w:tab w:val="left" w:pos="720"/>
        </w:tabs>
        <w:ind w:left="1440" w:hanging="1440"/>
      </w:pPr>
      <w:r>
        <w:rPr>
          <w:b/>
        </w:rPr>
        <w:tab/>
      </w:r>
      <w:r>
        <w:rPr>
          <w:b/>
          <w:u w:val="single"/>
        </w:rPr>
        <w:t>Schedule</w:t>
      </w:r>
      <w:r>
        <w:t xml:space="preserve"> - Jim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Annual meeting will not be at celebration</w:t>
      </w:r>
      <w:r w:rsidR="000D2675">
        <w:t xml:space="preserve"> for Section</w:t>
      </w:r>
      <w:r>
        <w:t>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Annual meeting will be between October 15 and November 15, likely November 4 at 3 pm.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Annual meeting will be immediately followed by meeting of Executive Committee.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September Executive Committee set for Friday, September 9, 9-11 am, at </w:t>
      </w:r>
      <w:proofErr w:type="spellStart"/>
      <w:r>
        <w:t>Landye</w:t>
      </w:r>
      <w:proofErr w:type="spellEnd"/>
      <w:r>
        <w:t xml:space="preserve"> Bennett, and October 7, 9-11 am, at TBD.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  <w:rPr>
          <w:b/>
          <w:u w:val="single"/>
        </w:rPr>
      </w:pPr>
      <w:r>
        <w:t>10.</w:t>
      </w:r>
      <w:r>
        <w:tab/>
      </w:r>
      <w:r>
        <w:rPr>
          <w:b/>
          <w:u w:val="single"/>
        </w:rPr>
        <w:t>New Business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 xml:space="preserve">Diane leading committee to meet at </w:t>
      </w:r>
      <w:proofErr w:type="spellStart"/>
      <w:r>
        <w:t>Ater</w:t>
      </w:r>
      <w:proofErr w:type="spellEnd"/>
      <w:r>
        <w:t xml:space="preserve"> Wynne next week to contact firms for website write-ups for o</w:t>
      </w:r>
      <w:r w:rsidR="0061773B">
        <w:t>ffice best practices.</w:t>
      </w:r>
      <w:proofErr w:type="gramEnd"/>
      <w:r w:rsidR="0061773B">
        <w:t xml:space="preserve">  </w:t>
      </w:r>
      <w:proofErr w:type="gramStart"/>
      <w:r w:rsidR="0061773B">
        <w:t>Bobby Mau</w:t>
      </w:r>
      <w:r>
        <w:t>ger, Stac</w:t>
      </w:r>
      <w:r w:rsidR="0061773B">
        <w:t>e</w:t>
      </w:r>
      <w:r w:rsidR="00BC1095">
        <w:t>y Mark</w:t>
      </w:r>
      <w:r>
        <w:t xml:space="preserve"> and </w:t>
      </w:r>
      <w:r w:rsidR="0061773B">
        <w:t>Dawn Winalski</w:t>
      </w:r>
      <w:r>
        <w:t>.</w:t>
      </w:r>
      <w:proofErr w:type="gramEnd"/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Diane and Dallas – Dallas will post to </w:t>
      </w:r>
      <w:proofErr w:type="spellStart"/>
      <w:r w:rsidR="00BC1095">
        <w:t>SFS</w:t>
      </w:r>
      <w:proofErr w:type="spellEnd"/>
      <w:r w:rsidR="00BC1095">
        <w:t xml:space="preserve"> </w:t>
      </w:r>
      <w:r>
        <w:t xml:space="preserve">website </w:t>
      </w:r>
      <w:r w:rsidR="00BC1095">
        <w:t>a</w:t>
      </w:r>
      <w:r>
        <w:t xml:space="preserve"> </w:t>
      </w:r>
      <w:r w:rsidR="00BC1095">
        <w:t xml:space="preserve">revised </w:t>
      </w:r>
      <w:r>
        <w:t xml:space="preserve">list of resources section </w:t>
      </w:r>
      <w:r w:rsidR="00BC1095">
        <w:t xml:space="preserve">had </w:t>
      </w:r>
      <w:r>
        <w:t xml:space="preserve">developed for </w:t>
      </w:r>
      <w:r w:rsidR="00BC1095">
        <w:t>mentoring</w:t>
      </w:r>
      <w:r>
        <w:t xml:space="preserve"> program.  We will post, where available, the document</w:t>
      </w:r>
      <w:r w:rsidR="00BC1095">
        <w:t>s</w:t>
      </w:r>
      <w:r>
        <w:t xml:space="preserve"> </w:t>
      </w:r>
      <w:r w:rsidR="00BC1095">
        <w:t>themselves</w:t>
      </w:r>
      <w:r>
        <w:t xml:space="preserve"> instead of just link</w:t>
      </w:r>
      <w:r w:rsidR="00BC1095">
        <w:t>s</w:t>
      </w:r>
      <w:r>
        <w:t>.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Diane – discussed getting all-section involvement for commenting on the </w:t>
      </w:r>
      <w:r w:rsidR="00BC1095">
        <w:t>R</w:t>
      </w:r>
      <w:r>
        <w:t xml:space="preserve">io </w:t>
      </w:r>
      <w:proofErr w:type="gramStart"/>
      <w:r>
        <w:t>Plus</w:t>
      </w:r>
      <w:proofErr w:type="gramEnd"/>
      <w:r>
        <w:t xml:space="preserve"> 20 </w:t>
      </w:r>
      <w:r w:rsidR="00BC1095">
        <w:t>to submit to</w:t>
      </w:r>
      <w:r>
        <w:t xml:space="preserve"> the </w:t>
      </w:r>
      <w:r w:rsidR="00BC1095">
        <w:t xml:space="preserve">event’s </w:t>
      </w:r>
      <w:r>
        <w:t>“</w:t>
      </w:r>
      <w:r w:rsidR="00BC1095">
        <w:t>C</w:t>
      </w:r>
      <w:r>
        <w:t xml:space="preserve">ompilation </w:t>
      </w:r>
      <w:r w:rsidR="00BC1095">
        <w:t>D</w:t>
      </w:r>
      <w:r>
        <w:t>ocument.”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Jim and Michelle – communicating with Jennifer Berg on ABA review of state-by-state response of legal profession to sustainability issues.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</w:pPr>
      <w:r>
        <w:t>11.</w:t>
      </w:r>
      <w:r>
        <w:tab/>
      </w:r>
      <w:r>
        <w:rPr>
          <w:b/>
          <w:u w:val="single"/>
        </w:rPr>
        <w:t>Old Business</w:t>
      </w:r>
    </w:p>
    <w:p w:rsidR="00312C08" w:rsidRDefault="00312C08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Jim and Robin reported on half price Section membership for law students and on signing up members at section events.</w:t>
      </w:r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</w:pPr>
      <w:proofErr w:type="gramStart"/>
      <w:r>
        <w:t>Adjourned 11:55 a.m.</w:t>
      </w:r>
      <w:proofErr w:type="gramEnd"/>
    </w:p>
    <w:p w:rsidR="00312C08" w:rsidRDefault="00312C08">
      <w:pPr>
        <w:tabs>
          <w:tab w:val="left" w:pos="720"/>
        </w:tabs>
        <w:ind w:left="1440" w:hanging="1440"/>
      </w:pPr>
    </w:p>
    <w:p w:rsidR="00312C08" w:rsidRDefault="00312C08">
      <w:pPr>
        <w:tabs>
          <w:tab w:val="left" w:pos="720"/>
        </w:tabs>
        <w:ind w:left="1440" w:hanging="1440"/>
        <w:rPr>
          <w:rFonts w:ascii="Univers" w:hAnsi="Univers"/>
          <w:caps/>
          <w:sz w:val="16"/>
        </w:rPr>
      </w:pPr>
      <w:r>
        <w:rPr>
          <w:rFonts w:ascii="Univers" w:hAnsi="Univers"/>
          <w:caps/>
          <w:sz w:val="16"/>
        </w:rPr>
        <w:t>265456</w:t>
      </w:r>
    </w:p>
    <w:sectPr w:rsidR="00312C08" w:rsidSect="00CC742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35" w:rsidRDefault="00F37035">
      <w:r>
        <w:separator/>
      </w:r>
    </w:p>
  </w:endnote>
  <w:endnote w:type="continuationSeparator" w:id="0">
    <w:p w:rsidR="00F37035" w:rsidRDefault="00F3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35" w:rsidRDefault="00F37035">
    <w:pPr>
      <w:pStyle w:val="Header"/>
    </w:pPr>
    <w:proofErr w:type="spellStart"/>
    <w:r>
      <w:t>OSB</w:t>
    </w:r>
    <w:proofErr w:type="spellEnd"/>
    <w:r>
      <w:t xml:space="preserve"> Sustainable Future Section Meeting Minutes August 5, 2011</w:t>
    </w:r>
    <w:r>
      <w:tab/>
    </w:r>
    <w:r w:rsidR="00285A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85AC8">
      <w:rPr>
        <w:rStyle w:val="PageNumber"/>
      </w:rPr>
      <w:fldChar w:fldCharType="separate"/>
    </w:r>
    <w:r w:rsidR="00BC1095">
      <w:rPr>
        <w:rStyle w:val="PageNumber"/>
        <w:noProof/>
      </w:rPr>
      <w:t>3</w:t>
    </w:r>
    <w:r w:rsidR="00285AC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35" w:rsidRDefault="00F37035">
      <w:r>
        <w:separator/>
      </w:r>
    </w:p>
  </w:footnote>
  <w:footnote w:type="continuationSeparator" w:id="0">
    <w:p w:rsidR="00F37035" w:rsidRDefault="00F3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AC"/>
    <w:multiLevelType w:val="hybridMultilevel"/>
    <w:tmpl w:val="615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46E"/>
    <w:multiLevelType w:val="hybridMultilevel"/>
    <w:tmpl w:val="4856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D21"/>
    <w:multiLevelType w:val="hybridMultilevel"/>
    <w:tmpl w:val="E696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567AB"/>
    <w:multiLevelType w:val="hybridMultilevel"/>
    <w:tmpl w:val="C3DEAE1A"/>
    <w:lvl w:ilvl="0" w:tplc="DD3244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E9717C"/>
    <w:multiLevelType w:val="hybridMultilevel"/>
    <w:tmpl w:val="FDB835DC"/>
    <w:lvl w:ilvl="0" w:tplc="F086D5DC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47130"/>
    <w:multiLevelType w:val="hybridMultilevel"/>
    <w:tmpl w:val="05F4E474"/>
    <w:lvl w:ilvl="0" w:tplc="DD3244F8">
      <w:start w:val="5"/>
      <w:numFmt w:val="decimal"/>
      <w:lvlText w:val="%1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6">
    <w:nsid w:val="16AC74F7"/>
    <w:multiLevelType w:val="hybridMultilevel"/>
    <w:tmpl w:val="BC000728"/>
    <w:lvl w:ilvl="0" w:tplc="04A2161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1465D"/>
    <w:multiLevelType w:val="hybridMultilevel"/>
    <w:tmpl w:val="C5C48BFA"/>
    <w:lvl w:ilvl="0" w:tplc="DD3244F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E3A40"/>
    <w:multiLevelType w:val="hybridMultilevel"/>
    <w:tmpl w:val="55A40730"/>
    <w:lvl w:ilvl="0" w:tplc="DD3244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64370"/>
    <w:multiLevelType w:val="hybridMultilevel"/>
    <w:tmpl w:val="664E1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03E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E6FA4"/>
    <w:multiLevelType w:val="hybridMultilevel"/>
    <w:tmpl w:val="EF1A3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575C5"/>
    <w:multiLevelType w:val="hybridMultilevel"/>
    <w:tmpl w:val="B4AE1A06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A5A37"/>
    <w:multiLevelType w:val="hybridMultilevel"/>
    <w:tmpl w:val="2DC2BBF8"/>
    <w:lvl w:ilvl="0" w:tplc="D4F2EC56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0D3D3D"/>
    <w:multiLevelType w:val="hybridMultilevel"/>
    <w:tmpl w:val="D30E7624"/>
    <w:lvl w:ilvl="0" w:tplc="D6089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C60785"/>
    <w:multiLevelType w:val="hybridMultilevel"/>
    <w:tmpl w:val="6D2A6502"/>
    <w:lvl w:ilvl="0" w:tplc="D6089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87399"/>
    <w:multiLevelType w:val="hybridMultilevel"/>
    <w:tmpl w:val="8EB43158"/>
    <w:lvl w:ilvl="0" w:tplc="EFD430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B629C"/>
    <w:multiLevelType w:val="hybridMultilevel"/>
    <w:tmpl w:val="EBD4EA12"/>
    <w:lvl w:ilvl="0" w:tplc="65BC64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21407"/>
    <w:multiLevelType w:val="hybridMultilevel"/>
    <w:tmpl w:val="93C0D902"/>
    <w:lvl w:ilvl="0" w:tplc="4B10FC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E1FFB"/>
    <w:multiLevelType w:val="hybridMultilevel"/>
    <w:tmpl w:val="79261370"/>
    <w:lvl w:ilvl="0" w:tplc="1A8CBF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900DEA"/>
    <w:multiLevelType w:val="hybridMultilevel"/>
    <w:tmpl w:val="0BD0B0E6"/>
    <w:lvl w:ilvl="0" w:tplc="DD3244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817EE"/>
    <w:multiLevelType w:val="hybridMultilevel"/>
    <w:tmpl w:val="71AE7A96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D60DD"/>
    <w:multiLevelType w:val="hybridMultilevel"/>
    <w:tmpl w:val="D8F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F7B11"/>
    <w:multiLevelType w:val="hybridMultilevel"/>
    <w:tmpl w:val="4036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2F6B1E"/>
    <w:multiLevelType w:val="hybridMultilevel"/>
    <w:tmpl w:val="582AA0B2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1"/>
  </w:num>
  <w:num w:numId="5">
    <w:abstractNumId w:val="16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7"/>
  </w:num>
  <w:num w:numId="16">
    <w:abstractNumId w:val="13"/>
  </w:num>
  <w:num w:numId="17">
    <w:abstractNumId w:val="14"/>
  </w:num>
  <w:num w:numId="18">
    <w:abstractNumId w:val="2"/>
  </w:num>
  <w:num w:numId="19">
    <w:abstractNumId w:val="22"/>
  </w:num>
  <w:num w:numId="20">
    <w:abstractNumId w:val="9"/>
  </w:num>
  <w:num w:numId="21">
    <w:abstractNumId w:val="10"/>
  </w:num>
  <w:num w:numId="22">
    <w:abstractNumId w:val="1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FA"/>
    <w:rsid w:val="000D2675"/>
    <w:rsid w:val="00285AC8"/>
    <w:rsid w:val="00312C08"/>
    <w:rsid w:val="00581A9D"/>
    <w:rsid w:val="0061773B"/>
    <w:rsid w:val="00990498"/>
    <w:rsid w:val="00BC1095"/>
    <w:rsid w:val="00C2163F"/>
    <w:rsid w:val="00CC742C"/>
    <w:rsid w:val="00CE39FA"/>
    <w:rsid w:val="00DE7B5F"/>
    <w:rsid w:val="00F3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42C"/>
  </w:style>
  <w:style w:type="character" w:styleId="Hyperlink">
    <w:name w:val="Hyperlink"/>
    <w:basedOn w:val="DefaultParagraphFont"/>
    <w:uiPriority w:val="99"/>
    <w:unhideWhenUsed/>
    <w:rsid w:val="00CC742C"/>
    <w:rPr>
      <w:color w:val="0000FF"/>
      <w:u w:val="single"/>
    </w:rPr>
  </w:style>
  <w:style w:type="paragraph" w:styleId="BodyText">
    <w:name w:val="Body Text"/>
    <w:basedOn w:val="Normal"/>
    <w:link w:val="BodyTextChar"/>
    <w:rsid w:val="00CC742C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CC742C"/>
    <w:rPr>
      <w:sz w:val="24"/>
      <w:szCs w:val="24"/>
    </w:rPr>
  </w:style>
  <w:style w:type="paragraph" w:styleId="Title">
    <w:name w:val="Title"/>
    <w:basedOn w:val="Normal"/>
    <w:link w:val="TitleChar"/>
    <w:qFormat/>
    <w:rsid w:val="00CC742C"/>
    <w:pPr>
      <w:spacing w:after="240"/>
      <w:jc w:val="center"/>
      <w:outlineLvl w:val="0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CC742C"/>
    <w:rPr>
      <w:rFonts w:cs="Arial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42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C742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Committee Meeting of December 3, 2009</vt:lpstr>
    </vt:vector>
  </TitlesOfParts>
  <Company>DeLuca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Committee Meeting of December 3, 2009</dc:title>
  <dc:subject/>
  <dc:creator>Dallas &amp; Sara DeLuca</dc:creator>
  <cp:keywords/>
  <dc:description/>
  <cp:lastModifiedBy>Dallas</cp:lastModifiedBy>
  <cp:revision>7</cp:revision>
  <cp:lastPrinted>2011-03-10T15:58:00Z</cp:lastPrinted>
  <dcterms:created xsi:type="dcterms:W3CDTF">2011-09-07T04:20:00Z</dcterms:created>
  <dcterms:modified xsi:type="dcterms:W3CDTF">2011-09-29T16:09:00Z</dcterms:modified>
</cp:coreProperties>
</file>